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480" w:lineRule="auto"/>
        <w:ind w:firstLine="720"/>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p>
    <w:p>
      <w:pPr>
        <w:pStyle w:val="Body"/>
        <w:spacing w:line="480" w:lineRule="auto"/>
        <w:ind w:firstLine="720"/>
        <w:jc w:val="center"/>
        <w:rPr>
          <w:rFonts w:ascii="Times New Roman" w:cs="Times New Roman" w:hAnsi="Times New Roman" w:eastAsia="Times New Roman"/>
          <w:sz w:val="24"/>
          <w:szCs w:val="24"/>
        </w:rPr>
      </w:pPr>
      <w:r>
        <w:rPr>
          <w:rFonts w:ascii="Times New Roman" w:hAnsi="Times New Roman"/>
          <w:sz w:val="24"/>
          <w:szCs w:val="24"/>
          <w:rtl w:val="0"/>
          <w:lang w:val="en-US"/>
        </w:rPr>
        <w:t>Effects of Poverty</w:t>
      </w:r>
    </w:p>
    <w:p>
      <w:pPr>
        <w:pStyle w:val="Body"/>
        <w:spacing w:line="480" w:lineRule="auto"/>
        <w:ind w:firstLine="720"/>
        <w:jc w:val="center"/>
        <w:rPr>
          <w:rFonts w:ascii="Times New Roman" w:cs="Times New Roman" w:hAnsi="Times New Roman" w:eastAsia="Times New Roman"/>
          <w:sz w:val="24"/>
          <w:szCs w:val="24"/>
        </w:rPr>
      </w:pPr>
      <w:r>
        <w:rPr>
          <w:rFonts w:ascii="Times New Roman" w:hAnsi="Times New Roman"/>
          <w:sz w:val="24"/>
          <w:szCs w:val="24"/>
          <w:rtl w:val="0"/>
          <w:lang w:val="en-US"/>
        </w:rPr>
        <w:t>Paige Richert</w:t>
      </w:r>
    </w:p>
    <w:p>
      <w:pPr>
        <w:pStyle w:val="Body"/>
        <w:spacing w:line="480" w:lineRule="auto"/>
        <w:ind w:firstLine="720"/>
        <w:jc w:val="center"/>
        <w:rPr>
          <w:rFonts w:ascii="Times New Roman" w:cs="Times New Roman" w:hAnsi="Times New Roman" w:eastAsia="Times New Roman"/>
          <w:sz w:val="24"/>
          <w:szCs w:val="24"/>
        </w:rPr>
      </w:pPr>
      <w:r>
        <w:rPr>
          <w:rFonts w:ascii="Times New Roman" w:hAnsi="Times New Roman"/>
          <w:sz w:val="24"/>
          <w:szCs w:val="24"/>
          <w:rtl w:val="0"/>
          <w:lang w:val="en-US"/>
        </w:rPr>
        <w:t>Gustavus Adolphus</w:t>
      </w:r>
    </w:p>
    <w:p>
      <w:pPr>
        <w:pStyle w:val="Body"/>
        <w:spacing w:line="480" w:lineRule="auto"/>
        <w:ind w:firstLine="720"/>
        <w:jc w:val="center"/>
        <w:rPr>
          <w:rFonts w:ascii="Times New Roman" w:cs="Times New Roman" w:hAnsi="Times New Roman" w:eastAsia="Times New Roman"/>
          <w:sz w:val="24"/>
          <w:szCs w:val="24"/>
        </w:rPr>
      </w:pPr>
      <w:r>
        <w:rPr>
          <w:rFonts w:ascii="Times New Roman" w:hAnsi="Times New Roman"/>
          <w:sz w:val="24"/>
          <w:szCs w:val="24"/>
          <w:rtl w:val="0"/>
          <w:lang w:val="en-US"/>
        </w:rPr>
        <w:t>04/24/2021</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line="480" w:lineRule="auto"/>
        <w:ind w:firstLine="720"/>
        <w:rPr>
          <w:rFonts w:ascii="Times New Roman" w:cs="Times New Roman" w:hAnsi="Times New Roman" w:eastAsia="Times New Roman"/>
          <w:sz w:val="24"/>
          <w:szCs w:val="24"/>
        </w:rPr>
      </w:pPr>
    </w:p>
    <w:p>
      <w:pPr>
        <w:pStyle w:val="Body"/>
        <w:spacing w:line="480" w:lineRule="auto"/>
        <w:ind w:firstLine="720"/>
        <w:rPr>
          <w:rFonts w:ascii="Times New Roman" w:cs="Times New Roman" w:hAnsi="Times New Roman" w:eastAsia="Times New Roman"/>
          <w:sz w:val="24"/>
          <w:szCs w:val="24"/>
        </w:rPr>
      </w:pPr>
    </w:p>
    <w:p>
      <w:pPr>
        <w:pStyle w:val="Body"/>
        <w:spacing w:line="480" w:lineRule="auto"/>
        <w:ind w:firstLine="720"/>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Poverty refers to inadequate of physical and financial resources for basic needs. There are many methods in which poverty influences children. Living in a poverty-environment has effects mostly on children. Children raised in a poverty area are at higher risk of many results like school dropout, neglect, poor performance achievement, physical abuse, malnutrition, and physical abuse. Also, they may suffer socio-emotional issues, development delays, and physical health problems such as stagnant growth. Violence behavior may come from a low parental income, a high growing population of poorer residents, and decreasing economic opportunities</w:t>
      </w:r>
      <w:r>
        <w:rPr>
          <w:rtl w:val="0"/>
        </w:rPr>
        <w:t xml:space="preserve"> (</w:t>
      </w:r>
      <w:r>
        <w:rPr>
          <w:rFonts w:ascii="Times New Roman" w:hAnsi="Times New Roman"/>
          <w:sz w:val="24"/>
          <w:szCs w:val="24"/>
          <w:rtl w:val="0"/>
          <w:lang w:val="en-US"/>
        </w:rPr>
        <w:t xml:space="preserve">Fazel &amp; Betancourt, 2018). The high pressure of living in a poverty-environment is the main cause of aggressive behavior that might bring violence.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 Children were living in a low-income society experience many risk factors, ranging from health issues to school performances. Unfortunately, 15 million children live under low-income families in the United States of American. Poverty is a measure that has been put in place to underestimate the necessity of working-class families. Poverty is an issue in America that requires to be addressed.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Children from low-income families are possible to be raised in under-developed neighborhoods, communities have mainly centralized poverty levels are also associated with challenges such as social, academics, behavioral issues, and health difficulties. Furthermore, such children are like to live in an environment exposed to risk factors like pollution, housing instability, malnutrition, economic hardship, crime, and even violence. In the case of violence, children may experience indirect exposure by witnessing the violent act, and it's shown them to live in adverse developmental results. Due to unevenly distributed income, such children unlikely to fully attend school due to scarce resources.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Poverty also affects academics. In addition to factors that affect neighborhood schools, poverty is one of them. Children who experienced poverty are like to directly or indirectly some risk factors related to poverty. They may experience high chances of recording either one or more problems with emotional development, speech, and learning. Children raised in poverty homes mostly find it difficult to concentrate in school; for example, a child with an empty does not focus in class. These children are always looking stressed, the issues that young children experience, worried about unfi</w:t>
      </w:r>
      <w:r>
        <w:rPr>
          <w:rFonts w:ascii="Times New Roman" w:hAnsi="Times New Roman"/>
          <w:sz w:val="24"/>
          <w:szCs w:val="24"/>
          <w:rtl w:val="0"/>
          <w:lang w:val="en-US"/>
        </w:rPr>
        <w:t>ni</w:t>
      </w:r>
      <w:r>
        <w:rPr>
          <w:rFonts w:ascii="Times New Roman" w:hAnsi="Times New Roman"/>
          <w:sz w:val="24"/>
          <w:szCs w:val="24"/>
          <w:rtl w:val="0"/>
          <w:lang w:val="en-US"/>
        </w:rPr>
        <w:t xml:space="preserve">shed homework.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Health risks that are associated with childhood poverty. Extreme poverty can affect the health of a child and cognitive development. Poverty has a significant impact on a child since it begins in childhood, mainly in brain development. It negatively influences body growth and brain development. Economic hardship is capable of altering the fundamental structure of the brain. Children who pass through financial difficulties are likely to experience health problems like those for adults, such as obesity, cancers, heart diseases, stroke, and hypertension. Children from low-income backgrounds are likely to be affected by issues like mental illness and mental health. These cognitive issues causes impair academic achievement.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Since children growing up within a family unit, it is always essential to learn how poverty affects children. Parents who live below the poverty level find it difficult to meet basic needs such as food, clothing, accommodations, health care, education, and utilities</w:t>
      </w:r>
      <w:r>
        <w:rPr>
          <w:rFonts w:ascii="Times New Roman" w:hAnsi="Times New Roman" w:hint="default"/>
          <w:sz w:val="24"/>
          <w:szCs w:val="24"/>
          <w:rtl w:val="0"/>
          <w:lang w:val="en-US"/>
        </w:rPr>
        <w:t>—</w:t>
      </w:r>
      <w:r>
        <w:rPr>
          <w:rFonts w:ascii="Times New Roman" w:hAnsi="Times New Roman"/>
          <w:sz w:val="24"/>
          <w:szCs w:val="24"/>
          <w:rtl w:val="0"/>
          <w:lang w:val="en-US"/>
        </w:rPr>
        <w:t>living in poverty results in limited access to food and clothing. It will cause greater school dropouts and unemployment since they lack adequate education</w:t>
      </w:r>
      <w:r>
        <w:rPr>
          <w:rtl w:val="0"/>
        </w:rPr>
        <w:t xml:space="preserve"> (</w:t>
      </w:r>
      <w:r>
        <w:rPr>
          <w:rFonts w:ascii="Times New Roman" w:hAnsi="Times New Roman"/>
          <w:sz w:val="24"/>
          <w:szCs w:val="24"/>
          <w:rtl w:val="0"/>
          <w:lang w:val="en-US"/>
        </w:rPr>
        <w:t xml:space="preserve">Khullar &amp; Chokshi, 2018). These will limit access to full potential. It will leave no choice for children but engage themselves in criminal activities that may lead them to physical injuries.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Several studies state that material deprivations and environmental complexities may result in physical abuse. For instance, uneducated caregivers, low income, unemployment, teen pregnancy, and staying community surrounded by violence are socio-economic factors that lead to a stressful life. Additionally, families living in poverty have access to limited resources. Family inadequate income develops a high risk of abandonment, physical abuse, and criminal activities because of many stress levels.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Inadequate bonding between the caregivers and children causes partner violence in our home, both physical and mental disabilities. Parents going through tremendous stress may convert into abusive behavior</w:t>
      </w:r>
      <w:r>
        <w:rPr>
          <w:rtl w:val="0"/>
        </w:rPr>
        <w:t xml:space="preserve"> (</w:t>
      </w:r>
      <w:r>
        <w:rPr>
          <w:rFonts w:ascii="Times New Roman" w:hAnsi="Times New Roman"/>
          <w:sz w:val="24"/>
          <w:szCs w:val="24"/>
          <w:rtl w:val="0"/>
          <w:lang w:val="en-US"/>
        </w:rPr>
        <w:t xml:space="preserve">Roy et al., 2019). Children who are below ten years are the most vulnerable to this can of abuse. Stress and poverty level are two related factors that are perpetrators of child abuse. However, multiple causes of child maltreatment, the relationship between stress and poverty, neglect and abuse cannot be ignored. Children going through such experience events are likely to develop various behavioral issues and health problems and may even grow a substance abuse disorder.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While growing up, the negative impact of a child may trigger further problems that can be passed from teenager to adulthood. The leading strategy for breaking up the poverty circle in several families is the two-generation approach, whose main objectives are enhancing the family's economic growth. It is necessary to care for children living in poverty to end hunger, acquire quality education, acquire peace, justice, and strong institutions. Caring for children living in poverty will also enhance children's inborn ability to make positive contributions and end gender inequality.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In conclusion, the effects of poverty are many, and it affects children negatively. Appropriate action needs to be taken to assist child pass through the following results: physical abuse, school dropout, health problems, malnutrition, poor performance in school, and difficulty in obtaining basic wants. These are some of the effects it takes to differentiate between the right rich kids and those living in poverty.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References</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DeLuca, S., Wood, H., &amp; Rosenblatt, P. (2019). Why low-income families move (and where they go): Reactive mobility and residential decisions. City &amp; Community, 18(2), 556-593.</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Fazel, M., &amp; Betancourt, T. S. (2018). Preventive mental health interventions for refugee children and adolescents in high-income settings. The Lancet Child &amp; Adolescent Health, 2(2), 121-132.</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Khullar, D., &amp; Chokshi, D. A. (2018). Health, income, &amp; poverty: Where we are &amp; what could help. Health Affairs, 4.</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Manduca, R., &amp; Sampson, R. J. (2019). Punishing and toxic neighborhood environments independently predict the intergenerational social mobility of black and white children. Proceedings of the national academy of sciences, 116(16), 7772-7777.</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Roy, A. L., Raver, C. C., Masucci, M. D., &amp; DeJoseph, M. (2019). "If they focus on giving us a chance in life, we can do something in this world": Poverty, inequality, and youths' critical consciousness: developmental psychology, 55(3), 550.</w:t>
      </w:r>
    </w:p>
    <w:p>
      <w:pPr>
        <w:pStyle w:val="Body"/>
        <w:spacing w:line="480" w:lineRule="auto"/>
        <w:ind w:left="720" w:hanging="720"/>
      </w:pPr>
      <w:r>
        <w:rPr>
          <w:rFonts w:ascii="Times New Roman" w:hAnsi="Times New Roman"/>
          <w:sz w:val="24"/>
          <w:szCs w:val="24"/>
          <w:rtl w:val="0"/>
          <w:lang w:val="en-US"/>
        </w:rPr>
        <w:t>Wertz, J., Agnew-Blais, J., Caspi, A., Danese, A., Fisher, H. L., Goldman-Mellor, S., ... &amp; Arseneault, L. (2018). From childhood conduct problems to poor functioning at age 18 years: examining explanations in a longitudinal cohort study. Journal of the American Academy of Child &amp; Adolescent Psychiatry, 57(1), 54-60.</w:t>
      </w:r>
    </w:p>
    <w:sectPr>
      <w:headerReference w:type="default" r:id="rId4"/>
      <w:headerReference w:type="first" r:id="rId5"/>
      <w:footerReference w:type="default" r:id="rId6"/>
      <w:footerReference w:type="first" r:id="rId7"/>
      <w:pgSz w:w="12240" w:h="15840" w:orient="portrait"/>
      <w:pgMar w:top="1440" w:right="1440" w:bottom="1440" w:left="144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tl w:val="0"/>
        <w:lang w:val="en-US"/>
      </w:rPr>
      <w:t>EFFECTS OF POVERTY.</w:t>
      <w:tab/>
      <w:tab/>
    </w:r>
    <w:r>
      <w:rPr/>
      <w:fldChar w:fldCharType="begin" w:fldLock="0"/>
    </w:r>
    <w:r>
      <w:instrText xml:space="preserve"> PAGE </w:instrText>
    </w:r>
    <w:r>
      <w:rPr/>
      <w:fldChar w:fldCharType="separate" w:fldLock="0"/>
    </w:r>
    <w:r>
      <w:t>6</w:t>
    </w:r>
    <w:r>
      <w:rPr/>
      <w:fldChar w:fldCharType="end" w:fldLock="0"/>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rPr>
        <w:rtl w:val="0"/>
        <w:lang w:val="en-US"/>
      </w:rPr>
      <w:t>EFFECTS OF POVERTY.</w:t>
      <w:tab/>
      <w:tab/>
      <w:t>1</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